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0" w:type="dxa"/>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741"/>
        <w:gridCol w:w="4083"/>
      </w:tblGrid>
      <w:tr w:rsidR="00904199" w:rsidRPr="00904199" w:rsidTr="00904199">
        <w:trPr>
          <w:tblCellSpacing w:w="0" w:type="dxa"/>
          <w:jc w:val="center"/>
        </w:trPr>
        <w:tc>
          <w:tcPr>
            <w:tcW w:w="10770" w:type="dxa"/>
            <w:gridSpan w:val="2"/>
            <w:tcBorders>
              <w:top w:val="dotted" w:sz="6" w:space="0" w:color="D3D3D3"/>
              <w:left w:val="dotted" w:sz="6" w:space="0" w:color="D3D3D3"/>
              <w:bottom w:val="dotted" w:sz="6" w:space="0" w:color="D3D3D3"/>
              <w:right w:val="dotted" w:sz="6" w:space="0" w:color="D3D3D3"/>
            </w:tcBorders>
            <w:shd w:val="clear" w:color="auto" w:fill="000000"/>
            <w:tcMar>
              <w:top w:w="75" w:type="dxa"/>
              <w:left w:w="225" w:type="dxa"/>
              <w:bottom w:w="75" w:type="dxa"/>
              <w:right w:w="225" w:type="dxa"/>
            </w:tcMar>
            <w:vAlign w:val="center"/>
            <w:hideMark/>
          </w:tcPr>
          <w:p w:rsidR="00904199" w:rsidRPr="00904199" w:rsidRDefault="00904199" w:rsidP="00904199">
            <w:pPr>
              <w:spacing w:after="0" w:line="240" w:lineRule="auto"/>
              <w:rPr>
                <w:rFonts w:ascii="Arial" w:eastAsia="Times New Roman" w:hAnsi="Arial" w:cs="Arial"/>
                <w:b/>
                <w:bCs/>
                <w:color w:val="FFFFFF"/>
                <w:sz w:val="18"/>
                <w:szCs w:val="18"/>
              </w:rPr>
            </w:pPr>
            <w:bookmarkStart w:id="0" w:name="_GoBack" w:colFirst="1" w:colLast="1"/>
            <w:r w:rsidRPr="00904199">
              <w:rPr>
                <w:rFonts w:ascii="Arial" w:eastAsia="Times New Roman" w:hAnsi="Arial" w:cs="Arial"/>
                <w:b/>
                <w:bCs/>
                <w:color w:val="FFFFFF"/>
                <w:sz w:val="18"/>
                <w:szCs w:val="18"/>
              </w:rPr>
              <w:t>June 16th, 2014 - Press Release</w:t>
            </w:r>
          </w:p>
        </w:tc>
      </w:tr>
      <w:tr w:rsidR="00904199" w:rsidRPr="00904199" w:rsidTr="00904199">
        <w:trPr>
          <w:tblCellSpacing w:w="0" w:type="dxa"/>
          <w:jc w:val="center"/>
        </w:trPr>
        <w:tc>
          <w:tcPr>
            <w:tcW w:w="6433" w:type="dxa"/>
            <w:tcBorders>
              <w:top w:val="dotted" w:sz="6" w:space="0" w:color="D3D3D3"/>
              <w:left w:val="dotted" w:sz="6" w:space="0" w:color="D3D3D3"/>
              <w:bottom w:val="dotted" w:sz="6" w:space="0" w:color="D3D3D3"/>
              <w:right w:val="dotted" w:sz="6" w:space="0" w:color="D3D3D3"/>
            </w:tcBorders>
            <w:shd w:val="clear" w:color="auto" w:fill="FFFFFF"/>
            <w:hideMark/>
          </w:tcPr>
          <w:tbl>
            <w:tblPr>
              <w:tblW w:w="7695"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695"/>
            </w:tblGrid>
            <w:tr w:rsidR="00904199" w:rsidRPr="00904199">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tcMar>
                    <w:top w:w="225" w:type="dxa"/>
                    <w:left w:w="225" w:type="dxa"/>
                    <w:bottom w:w="0" w:type="dxa"/>
                    <w:right w:w="225" w:type="dxa"/>
                  </w:tcMar>
                  <w:vAlign w:val="center"/>
                  <w:hideMark/>
                </w:tcPr>
                <w:p w:rsidR="00904199" w:rsidRPr="00904199" w:rsidRDefault="00904199" w:rsidP="00904199">
                  <w:pPr>
                    <w:spacing w:after="0" w:line="240" w:lineRule="auto"/>
                    <w:rPr>
                      <w:rFonts w:ascii="Arial" w:eastAsia="Times New Roman" w:hAnsi="Arial" w:cs="Arial"/>
                      <w:color w:val="4F7302"/>
                      <w:sz w:val="30"/>
                      <w:szCs w:val="30"/>
                    </w:rPr>
                  </w:pPr>
                  <w:r w:rsidRPr="00904199">
                    <w:rPr>
                      <w:rFonts w:ascii="Arial" w:eastAsia="Times New Roman" w:hAnsi="Arial" w:cs="Arial"/>
                      <w:b/>
                      <w:bCs/>
                      <w:color w:val="4F7302"/>
                      <w:sz w:val="30"/>
                      <w:szCs w:val="30"/>
                    </w:rPr>
                    <w:t>The First Certified Latin American Transportation Food Safety and Quality Auditors Are Now Available for the Export and Import Perishable Supply Chain</w:t>
                  </w:r>
                </w:p>
              </w:tc>
            </w:tr>
            <w:tr w:rsidR="00904199" w:rsidRPr="00904199">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6225"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6270"/>
                  </w:tblGrid>
                  <w:tr w:rsidR="00904199" w:rsidRPr="00904199">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shd w:val="clear" w:color="auto" w:fill="FCF0C2"/>
                        <w:vAlign w:val="center"/>
                        <w:hideMark/>
                      </w:tcPr>
                      <w:p w:rsidR="00904199" w:rsidRPr="00904199" w:rsidRDefault="00904199" w:rsidP="009041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FF89A37" wp14:editId="7F412264">
                              <wp:extent cx="3952875" cy="57150"/>
                              <wp:effectExtent l="0" t="0" r="9525" b="0"/>
                              <wp:docPr id="5" name="Picture 5" descr="box_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x_top.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2875" cy="57150"/>
                                      </a:xfrm>
                                      <a:prstGeom prst="rect">
                                        <a:avLst/>
                                      </a:prstGeom>
                                      <a:noFill/>
                                      <a:ln>
                                        <a:noFill/>
                                      </a:ln>
                                    </pic:spPr>
                                  </pic:pic>
                                </a:graphicData>
                              </a:graphic>
                            </wp:inline>
                          </w:drawing>
                        </w:r>
                      </w:p>
                    </w:tc>
                  </w:tr>
                  <w:tr w:rsidR="00904199" w:rsidRPr="00904199">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shd w:val="clear" w:color="auto" w:fill="FCF0C2"/>
                        <w:tcMar>
                          <w:top w:w="75" w:type="dxa"/>
                          <w:left w:w="225" w:type="dxa"/>
                          <w:bottom w:w="75" w:type="dxa"/>
                          <w:right w:w="225" w:type="dxa"/>
                        </w:tcMar>
                        <w:vAlign w:val="center"/>
                        <w:hideMark/>
                      </w:tcPr>
                      <w:p w:rsidR="00904199" w:rsidRPr="00904199" w:rsidRDefault="00904199" w:rsidP="00904199">
                        <w:pPr>
                          <w:spacing w:after="0" w:line="240" w:lineRule="auto"/>
                          <w:jc w:val="center"/>
                          <w:rPr>
                            <w:rFonts w:ascii="Times New Roman" w:eastAsia="Times New Roman" w:hAnsi="Times New Roman" w:cs="Times New Roman"/>
                            <w:sz w:val="24"/>
                            <w:szCs w:val="24"/>
                          </w:rPr>
                        </w:pPr>
                        <w:r w:rsidRPr="00904199">
                          <w:rPr>
                            <w:rFonts w:ascii="Times New Roman" w:eastAsia="Times New Roman" w:hAnsi="Times New Roman" w:cs="Times New Roman"/>
                            <w:b/>
                            <w:bCs/>
                            <w:sz w:val="28"/>
                            <w:szCs w:val="28"/>
                          </w:rPr>
                          <w:t>Importing or Exporting Perishables?</w:t>
                        </w:r>
                      </w:p>
                    </w:tc>
                  </w:tr>
                  <w:tr w:rsidR="00904199" w:rsidRPr="00904199">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shd w:val="clear" w:color="auto" w:fill="FCF0C2"/>
                        <w:vAlign w:val="center"/>
                        <w:hideMark/>
                      </w:tcPr>
                      <w:p w:rsidR="00904199" w:rsidRPr="00904199" w:rsidRDefault="00904199" w:rsidP="009041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0D1649F" wp14:editId="7C0DD8D6">
                              <wp:extent cx="3952875" cy="57150"/>
                              <wp:effectExtent l="0" t="0" r="9525" b="0"/>
                              <wp:docPr id="4" name="Picture 4" descr="box_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_botto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2875" cy="57150"/>
                                      </a:xfrm>
                                      <a:prstGeom prst="rect">
                                        <a:avLst/>
                                      </a:prstGeom>
                                      <a:noFill/>
                                      <a:ln>
                                        <a:noFill/>
                                      </a:ln>
                                    </pic:spPr>
                                  </pic:pic>
                                </a:graphicData>
                              </a:graphic>
                            </wp:inline>
                          </w:drawing>
                        </w:r>
                      </w:p>
                    </w:tc>
                  </w:tr>
                </w:tbl>
                <w:p w:rsidR="00904199" w:rsidRPr="00904199" w:rsidRDefault="00904199" w:rsidP="00904199">
                  <w:pPr>
                    <w:spacing w:after="0" w:line="240" w:lineRule="auto"/>
                    <w:rPr>
                      <w:rFonts w:ascii="Times New Roman" w:eastAsia="Times New Roman" w:hAnsi="Times New Roman" w:cs="Times New Roman"/>
                      <w:sz w:val="24"/>
                      <w:szCs w:val="24"/>
                    </w:rPr>
                  </w:pPr>
                </w:p>
              </w:tc>
            </w:tr>
            <w:tr w:rsidR="00904199" w:rsidRPr="00904199">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tcMar>
                    <w:top w:w="225" w:type="dxa"/>
                    <w:left w:w="225" w:type="dxa"/>
                    <w:bottom w:w="225" w:type="dxa"/>
                    <w:right w:w="225" w:type="dxa"/>
                  </w:tcMar>
                  <w:vAlign w:val="center"/>
                  <w:hideMark/>
                </w:tcPr>
                <w:p w:rsidR="00904199" w:rsidRPr="00904199" w:rsidRDefault="00904199" w:rsidP="00904199">
                  <w:pPr>
                    <w:spacing w:after="240" w:line="240" w:lineRule="auto"/>
                    <w:rPr>
                      <w:rFonts w:ascii="Times New Roman" w:eastAsia="Times New Roman" w:hAnsi="Times New Roman" w:cs="Times New Roman"/>
                      <w:sz w:val="24"/>
                      <w:szCs w:val="24"/>
                    </w:rPr>
                  </w:pPr>
                  <w:r w:rsidRPr="00904199">
                    <w:rPr>
                      <w:rFonts w:ascii="Times New Roman" w:eastAsia="Times New Roman" w:hAnsi="Times New Roman" w:cs="Times New Roman"/>
                      <w:sz w:val="24"/>
                      <w:szCs w:val="24"/>
                    </w:rPr>
                    <w:t>Perishable food importers to the United States are concerned over the enforcement enabled Food and Drug Administration’s (FDA) Food Safety Modernization Act (FSMA) transportation rules, the Department of Homeland Security and Customs and Border Protection.  </w:t>
                  </w:r>
                  <w:r w:rsidRPr="00904199">
                    <w:rPr>
                      <w:rFonts w:ascii="Times New Roman" w:eastAsia="Times New Roman" w:hAnsi="Times New Roman" w:cs="Times New Roman"/>
                      <w:sz w:val="24"/>
                      <w:szCs w:val="24"/>
                    </w:rPr>
                    <w:br/>
                  </w:r>
                  <w:r w:rsidRPr="00904199">
                    <w:rPr>
                      <w:rFonts w:ascii="Times New Roman" w:eastAsia="Times New Roman" w:hAnsi="Times New Roman" w:cs="Times New Roman"/>
                      <w:sz w:val="24"/>
                      <w:szCs w:val="24"/>
                    </w:rPr>
                    <w:br/>
                    <w:t>To proactively prepare food exporters and importers throughout Latin America to meet upcoming the FSMA requirements on the sanitary transportation of human and animal foods, The Cambridge Business Group (TCBG) has succeeded in certifying members to the Sanitary Cold Chain’s TransCert (Transportation Certification) standards. </w:t>
                  </w:r>
                  <w:r w:rsidRPr="00904199">
                    <w:rPr>
                      <w:rFonts w:ascii="Times New Roman" w:eastAsia="Times New Roman" w:hAnsi="Times New Roman" w:cs="Times New Roman"/>
                      <w:sz w:val="24"/>
                      <w:szCs w:val="24"/>
                    </w:rPr>
                    <w:br/>
                  </w:r>
                  <w:r w:rsidRPr="00904199">
                    <w:rPr>
                      <w:rFonts w:ascii="Times New Roman" w:eastAsia="Times New Roman" w:hAnsi="Times New Roman" w:cs="Times New Roman"/>
                      <w:sz w:val="24"/>
                      <w:szCs w:val="24"/>
                    </w:rPr>
                    <w:br/>
                    <w:t>Headquartered in Buenos Aires, Argentina, TCBG provides leadership and coordination among a Latin American network of food safety, quality, environment, occupational health and safety, laboratories, and information security consultants, inspectors and auditors.  “The TCBG network includes certified lead and external auditors in Argentina, Brazil, Chile, Uruguay, Bolivia, Ecuador, Peru, Mexico, Dominican Republic, Columbia, Central America, Venezuela and Italy” according to Jose Maria Quevedo Pearson, TCBG Americas, Director.</w:t>
                  </w:r>
                  <w:r w:rsidRPr="00904199">
                    <w:rPr>
                      <w:rFonts w:ascii="Times New Roman" w:eastAsia="Times New Roman" w:hAnsi="Times New Roman" w:cs="Times New Roman"/>
                      <w:sz w:val="24"/>
                      <w:szCs w:val="24"/>
                    </w:rPr>
                    <w:br/>
                    <w:t> </w:t>
                  </w:r>
                  <w:r w:rsidRPr="00904199">
                    <w:rPr>
                      <w:rFonts w:ascii="Times New Roman" w:eastAsia="Times New Roman" w:hAnsi="Times New Roman" w:cs="Times New Roman"/>
                      <w:sz w:val="24"/>
                      <w:szCs w:val="24"/>
                    </w:rPr>
                    <w:br/>
                    <w:t xml:space="preserve">“The TransCert system requires transportation suppliers to meet management, HACCP, sanitation, temperature monitoring, </w:t>
                  </w:r>
                  <w:proofErr w:type="gramStart"/>
                  <w:r w:rsidRPr="00904199">
                    <w:rPr>
                      <w:rFonts w:ascii="Times New Roman" w:eastAsia="Times New Roman" w:hAnsi="Times New Roman" w:cs="Times New Roman"/>
                      <w:sz w:val="24"/>
                      <w:szCs w:val="24"/>
                    </w:rPr>
                    <w:t>traceability</w:t>
                  </w:r>
                  <w:proofErr w:type="gramEnd"/>
                  <w:r w:rsidRPr="00904199">
                    <w:rPr>
                      <w:rFonts w:ascii="Times New Roman" w:eastAsia="Times New Roman" w:hAnsi="Times New Roman" w:cs="Times New Roman"/>
                      <w:sz w:val="24"/>
                      <w:szCs w:val="24"/>
                    </w:rPr>
                    <w:t xml:space="preserve"> and training standards” said Dr. John Ryan, president Ryan Systems and the Sanitary Cold Chain.  TransCert standards provide a solid foundation for FSMA compliance and are also designed to help supply chain participants meet customer logistics requirements.  Shippers, carriers and receivers working toward TransCert certification are expected to access their current transportation food safety systems, develop procedures and work instructions, train their personnel, prepare for an external transportation food safety audit and become TransCert certified.  Certification allows successful participants to carry the “TransCert Certified” logo on reefers, containers and other food carrying containers.</w:t>
                  </w:r>
                  <w:r w:rsidRPr="00904199">
                    <w:rPr>
                      <w:rFonts w:ascii="Times New Roman" w:eastAsia="Times New Roman" w:hAnsi="Times New Roman" w:cs="Times New Roman"/>
                      <w:sz w:val="24"/>
                      <w:szCs w:val="24"/>
                    </w:rPr>
                    <w:br/>
                  </w:r>
                  <w:r w:rsidRPr="00904199">
                    <w:rPr>
                      <w:rFonts w:ascii="Times New Roman" w:eastAsia="Times New Roman" w:hAnsi="Times New Roman" w:cs="Times New Roman"/>
                      <w:sz w:val="24"/>
                      <w:szCs w:val="24"/>
                    </w:rPr>
                    <w:br/>
                    <w:t xml:space="preserve">“By using the TransCert “Container Checklist”, any company or a </w:t>
                  </w:r>
                  <w:r w:rsidRPr="00904199">
                    <w:rPr>
                      <w:rFonts w:ascii="Times New Roman" w:eastAsia="Times New Roman" w:hAnsi="Times New Roman" w:cs="Times New Roman"/>
                      <w:sz w:val="24"/>
                      <w:szCs w:val="24"/>
                    </w:rPr>
                    <w:lastRenderedPageBreak/>
                    <w:t xml:space="preserve">TransCert auditor can help shippers to establish baseline data that provides </w:t>
                  </w:r>
                  <w:proofErr w:type="gramStart"/>
                  <w:r w:rsidRPr="00904199">
                    <w:rPr>
                      <w:rFonts w:ascii="Times New Roman" w:eastAsia="Times New Roman" w:hAnsi="Times New Roman" w:cs="Times New Roman"/>
                      <w:sz w:val="24"/>
                      <w:szCs w:val="24"/>
                    </w:rPr>
                    <w:t>a preliminary needs</w:t>
                  </w:r>
                  <w:proofErr w:type="gramEnd"/>
                  <w:r w:rsidRPr="00904199">
                    <w:rPr>
                      <w:rFonts w:ascii="Times New Roman" w:eastAsia="Times New Roman" w:hAnsi="Times New Roman" w:cs="Times New Roman"/>
                      <w:sz w:val="24"/>
                      <w:szCs w:val="24"/>
                    </w:rPr>
                    <w:t xml:space="preserve"> assessment” said Ryan.  TransCert has also established a significant online library of self-paced training modules to help move clients towards a position designed to help them pass the certification audit.  External auditor certification training is provided in English and Spanish.  Training attendees receive a certificate for inclusion in their training documentation. The Sanitary Cold Chain also provides sample forms, logs and checklists as well as document control system guidance materials to Sanitary Cold Chain members. </w:t>
                  </w:r>
                  <w:r w:rsidRPr="00904199">
                    <w:rPr>
                      <w:rFonts w:ascii="Times New Roman" w:eastAsia="Times New Roman" w:hAnsi="Times New Roman" w:cs="Times New Roman"/>
                      <w:sz w:val="24"/>
                      <w:szCs w:val="24"/>
                    </w:rPr>
                    <w:br/>
                  </w:r>
                  <w:r w:rsidRPr="00904199">
                    <w:rPr>
                      <w:rFonts w:ascii="Times New Roman" w:eastAsia="Times New Roman" w:hAnsi="Times New Roman" w:cs="Times New Roman"/>
                      <w:sz w:val="24"/>
                      <w:szCs w:val="24"/>
                    </w:rPr>
                    <w:br/>
                    <w:t>The Sanitary Cold Chain has also recently signed an agreement with a Canadian based group to provide similar services for Canadian growers, shippers, carriers and importers.</w:t>
                  </w:r>
                  <w:r w:rsidRPr="00904199">
                    <w:rPr>
                      <w:rFonts w:ascii="Times New Roman" w:eastAsia="Times New Roman" w:hAnsi="Times New Roman" w:cs="Times New Roman"/>
                      <w:sz w:val="24"/>
                      <w:szCs w:val="24"/>
                    </w:rPr>
                    <w:br/>
                  </w:r>
                  <w:r w:rsidRPr="00904199">
                    <w:rPr>
                      <w:rFonts w:ascii="Times New Roman" w:eastAsia="Times New Roman" w:hAnsi="Times New Roman" w:cs="Times New Roman"/>
                      <w:sz w:val="24"/>
                      <w:szCs w:val="24"/>
                    </w:rPr>
                    <w:br/>
                  </w:r>
                  <w:r w:rsidRPr="00904199">
                    <w:rPr>
                      <w:rFonts w:ascii="Times New Roman" w:eastAsia="Times New Roman" w:hAnsi="Times New Roman" w:cs="Times New Roman"/>
                      <w:b/>
                      <w:bCs/>
                      <w:sz w:val="24"/>
                      <w:szCs w:val="24"/>
                      <w:u w:val="single"/>
                    </w:rPr>
                    <w:t>For more information about the sanitary cold chain and TransCert</w:t>
                  </w:r>
                  <w:r w:rsidRPr="00904199">
                    <w:rPr>
                      <w:rFonts w:ascii="Times New Roman" w:eastAsia="Times New Roman" w:hAnsi="Times New Roman" w:cs="Times New Roman"/>
                      <w:sz w:val="24"/>
                      <w:szCs w:val="24"/>
                    </w:rPr>
                    <w:br/>
                    <w:t xml:space="preserve">Dr. John Ryan is a retired </w:t>
                  </w:r>
                  <w:proofErr w:type="spellStart"/>
                  <w:r w:rsidRPr="00904199">
                    <w:rPr>
                      <w:rFonts w:ascii="Times New Roman" w:eastAsia="Times New Roman" w:hAnsi="Times New Roman" w:cs="Times New Roman"/>
                      <w:sz w:val="24"/>
                      <w:szCs w:val="24"/>
                    </w:rPr>
                    <w:t>adminstrator</w:t>
                  </w:r>
                  <w:proofErr w:type="spellEnd"/>
                  <w:r w:rsidRPr="00904199">
                    <w:rPr>
                      <w:rFonts w:ascii="Times New Roman" w:eastAsia="Times New Roman" w:hAnsi="Times New Roman" w:cs="Times New Roman"/>
                      <w:sz w:val="24"/>
                      <w:szCs w:val="24"/>
                    </w:rPr>
                    <w:t xml:space="preserve"> of the Quality Assurance Division in the Hawaii State Department of Agriculture.  He has recently published the </w:t>
                  </w:r>
                  <w:hyperlink r:id="rId7" w:history="1">
                    <w:r w:rsidRPr="00904199">
                      <w:rPr>
                        <w:rFonts w:ascii="Times New Roman" w:eastAsia="Times New Roman" w:hAnsi="Times New Roman" w:cs="Times New Roman"/>
                        <w:color w:val="0000FF"/>
                        <w:sz w:val="24"/>
                        <w:szCs w:val="24"/>
                        <w:u w:val="single"/>
                      </w:rPr>
                      <w:t>"Guide to Food Safety and Quality During Transportation:  Controls Standards and Practices"</w:t>
                    </w:r>
                  </w:hyperlink>
                  <w:r w:rsidRPr="00904199">
                    <w:rPr>
                      <w:rFonts w:ascii="Times New Roman" w:eastAsia="Times New Roman" w:hAnsi="Times New Roman" w:cs="Times New Roman"/>
                      <w:sz w:val="24"/>
                      <w:szCs w:val="24"/>
                    </w:rPr>
                    <w:t>.  With locations in Salinas and Canyon Lake, California, the Sanitary Cold Chain provides food safety and quality assessment, training, audit and certification services for shippers, carriers and receivers of perishable foods.   Training modules can be found at </w:t>
                  </w:r>
                  <w:hyperlink r:id="rId8" w:history="1">
                    <w:r w:rsidRPr="00904199">
                      <w:rPr>
                        <w:rFonts w:ascii="Times New Roman" w:eastAsia="Times New Roman" w:hAnsi="Times New Roman" w:cs="Times New Roman"/>
                        <w:color w:val="0000FF"/>
                        <w:sz w:val="24"/>
                        <w:szCs w:val="24"/>
                        <w:u w:val="single"/>
                      </w:rPr>
                      <w:t>http://transcert.litmos.com/online-courses</w:t>
                    </w:r>
                  </w:hyperlink>
                  <w:r w:rsidRPr="00904199">
                    <w:rPr>
                      <w:rFonts w:ascii="Times New Roman" w:eastAsia="Times New Roman" w:hAnsi="Times New Roman" w:cs="Times New Roman"/>
                      <w:sz w:val="24"/>
                      <w:szCs w:val="24"/>
                    </w:rPr>
                    <w:t> .  The Sanitary Cold Chain (http://www.SanitaryColdChain) is a division of Ryan Systems, Inc.  More information is available through </w:t>
                  </w:r>
                  <w:hyperlink r:id="rId9" w:history="1">
                    <w:r w:rsidRPr="00904199">
                      <w:rPr>
                        <w:rFonts w:ascii="Times New Roman" w:eastAsia="Times New Roman" w:hAnsi="Times New Roman" w:cs="Times New Roman"/>
                        <w:color w:val="0000FF"/>
                        <w:sz w:val="24"/>
                        <w:szCs w:val="24"/>
                        <w:u w:val="single"/>
                      </w:rPr>
                      <w:t>jryan@sanitarycoldchain.com</w:t>
                    </w:r>
                  </w:hyperlink>
                  <w:r w:rsidRPr="00904199">
                    <w:rPr>
                      <w:rFonts w:ascii="Times New Roman" w:eastAsia="Times New Roman" w:hAnsi="Times New Roman" w:cs="Times New Roman"/>
                      <w:sz w:val="24"/>
                      <w:szCs w:val="24"/>
                    </w:rPr>
                    <w:t> or by calling U.S. 808 469-0046.</w:t>
                  </w:r>
                  <w:r w:rsidRPr="00904199">
                    <w:rPr>
                      <w:rFonts w:ascii="Times New Roman" w:eastAsia="Times New Roman" w:hAnsi="Times New Roman" w:cs="Times New Roman"/>
                      <w:sz w:val="24"/>
                      <w:szCs w:val="24"/>
                    </w:rPr>
                    <w:br/>
                    <w:t> </w:t>
                  </w:r>
                  <w:r w:rsidRPr="00904199">
                    <w:rPr>
                      <w:rFonts w:ascii="Times New Roman" w:eastAsia="Times New Roman" w:hAnsi="Times New Roman" w:cs="Times New Roman"/>
                      <w:sz w:val="24"/>
                      <w:szCs w:val="24"/>
                    </w:rPr>
                    <w:br/>
                  </w:r>
                  <w:r w:rsidRPr="00904199">
                    <w:rPr>
                      <w:rFonts w:ascii="Times New Roman" w:eastAsia="Times New Roman" w:hAnsi="Times New Roman" w:cs="Times New Roman"/>
                      <w:b/>
                      <w:bCs/>
                      <w:sz w:val="24"/>
                      <w:szCs w:val="24"/>
                      <w:u w:val="single"/>
                    </w:rPr>
                    <w:t>About The Cambridge Business Group</w:t>
                  </w:r>
                  <w:r w:rsidRPr="00904199">
                    <w:rPr>
                      <w:rFonts w:ascii="Times New Roman" w:eastAsia="Times New Roman" w:hAnsi="Times New Roman" w:cs="Times New Roman"/>
                      <w:sz w:val="24"/>
                      <w:szCs w:val="24"/>
                    </w:rPr>
                    <w:br/>
                    <w:t xml:space="preserve">TCBG is headquartered at Boulevard </w:t>
                  </w:r>
                  <w:proofErr w:type="spellStart"/>
                  <w:r w:rsidRPr="00904199">
                    <w:rPr>
                      <w:rFonts w:ascii="Times New Roman" w:eastAsia="Times New Roman" w:hAnsi="Times New Roman" w:cs="Times New Roman"/>
                      <w:sz w:val="24"/>
                      <w:szCs w:val="24"/>
                    </w:rPr>
                    <w:t>Charcas</w:t>
                  </w:r>
                  <w:proofErr w:type="spellEnd"/>
                  <w:r w:rsidRPr="00904199">
                    <w:rPr>
                      <w:rFonts w:ascii="Times New Roman" w:eastAsia="Times New Roman" w:hAnsi="Times New Roman" w:cs="Times New Roman"/>
                      <w:sz w:val="24"/>
                      <w:szCs w:val="24"/>
                    </w:rPr>
                    <w:t xml:space="preserve"> 3351-Stage 7 in Buenos Aires, Argentina with a website at </w:t>
                  </w:r>
                  <w:hyperlink r:id="rId10" w:history="1">
                    <w:r w:rsidRPr="00904199">
                      <w:rPr>
                        <w:rFonts w:ascii="Times New Roman" w:eastAsia="Times New Roman" w:hAnsi="Times New Roman" w:cs="Times New Roman"/>
                        <w:color w:val="0000FF"/>
                        <w:sz w:val="24"/>
                        <w:szCs w:val="24"/>
                        <w:u w:val="single"/>
                      </w:rPr>
                      <w:t>http://www.tcbg.info/</w:t>
                    </w:r>
                  </w:hyperlink>
                  <w:r w:rsidRPr="00904199">
                    <w:rPr>
                      <w:rFonts w:ascii="Times New Roman" w:eastAsia="Times New Roman" w:hAnsi="Times New Roman" w:cs="Times New Roman"/>
                      <w:sz w:val="24"/>
                      <w:szCs w:val="24"/>
                    </w:rPr>
                    <w:t>  or by emailing Jose Quevedo at joseqp@gmail.com</w:t>
                  </w:r>
                  <w:r w:rsidRPr="00904199">
                    <w:rPr>
                      <w:rFonts w:ascii="Times New Roman" w:eastAsia="Times New Roman" w:hAnsi="Times New Roman" w:cs="Times New Roman"/>
                      <w:sz w:val="24"/>
                      <w:szCs w:val="24"/>
                    </w:rPr>
                    <w:br/>
                  </w:r>
                  <w:r w:rsidRPr="00904199">
                    <w:rPr>
                      <w:rFonts w:ascii="Times New Roman" w:eastAsia="Times New Roman" w:hAnsi="Times New Roman" w:cs="Times New Roman"/>
                      <w:sz w:val="24"/>
                      <w:szCs w:val="24"/>
                    </w:rPr>
                    <w:br/>
                  </w:r>
                  <w:r w:rsidRPr="00904199">
                    <w:rPr>
                      <w:rFonts w:ascii="Times New Roman" w:eastAsia="Times New Roman" w:hAnsi="Times New Roman" w:cs="Times New Roman"/>
                      <w:sz w:val="24"/>
                      <w:szCs w:val="24"/>
                    </w:rPr>
                    <w:br/>
                  </w:r>
                </w:p>
              </w:tc>
            </w:tr>
          </w:tbl>
          <w:p w:rsidR="00904199" w:rsidRPr="00904199" w:rsidRDefault="00904199" w:rsidP="00904199">
            <w:pPr>
              <w:spacing w:after="0" w:line="240" w:lineRule="auto"/>
              <w:rPr>
                <w:rFonts w:ascii="Arial" w:eastAsia="Times New Roman" w:hAnsi="Arial" w:cs="Arial"/>
                <w:color w:val="333333"/>
                <w:sz w:val="18"/>
                <w:szCs w:val="18"/>
              </w:rPr>
            </w:pPr>
          </w:p>
        </w:tc>
        <w:tc>
          <w:tcPr>
            <w:tcW w:w="4337" w:type="dxa"/>
            <w:tcBorders>
              <w:top w:val="dotted" w:sz="6" w:space="0" w:color="D3D3D3"/>
              <w:left w:val="dotted" w:sz="6" w:space="0" w:color="D3D3D3"/>
              <w:bottom w:val="dotted" w:sz="6" w:space="0" w:color="D3D3D3"/>
              <w:right w:val="dotted" w:sz="6" w:space="0" w:color="D3D3D3"/>
            </w:tcBorders>
            <w:shd w:val="clear" w:color="auto" w:fill="4F7302"/>
            <w:hideMark/>
          </w:tcPr>
          <w:tbl>
            <w:tblPr>
              <w:tblW w:w="3000"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000"/>
            </w:tblGrid>
            <w:tr w:rsidR="00904199" w:rsidRPr="00904199">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tcMar>
                    <w:top w:w="0" w:type="dxa"/>
                    <w:left w:w="0" w:type="dxa"/>
                    <w:bottom w:w="150" w:type="dxa"/>
                    <w:right w:w="0" w:type="dxa"/>
                  </w:tcMar>
                  <w:hideMark/>
                </w:tcPr>
                <w:p w:rsidR="00904199" w:rsidRPr="00904199" w:rsidRDefault="00904199" w:rsidP="009041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3A4488F9" wp14:editId="724787CE">
                        <wp:extent cx="1866900" cy="2400300"/>
                        <wp:effectExtent l="0" t="0" r="0" b="0"/>
                        <wp:docPr id="3" name="Picture 3" descr="restaurant_bar_4_hea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taurant_bar_4_header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2400300"/>
                                </a:xfrm>
                                <a:prstGeom prst="rect">
                                  <a:avLst/>
                                </a:prstGeom>
                                <a:noFill/>
                                <a:ln>
                                  <a:noFill/>
                                </a:ln>
                              </pic:spPr>
                            </pic:pic>
                          </a:graphicData>
                        </a:graphic>
                      </wp:inline>
                    </w:drawing>
                  </w:r>
                </w:p>
              </w:tc>
            </w:tr>
          </w:tbl>
          <w:p w:rsidR="00904199" w:rsidRPr="00904199" w:rsidRDefault="00904199" w:rsidP="00904199">
            <w:pPr>
              <w:spacing w:after="0" w:line="240" w:lineRule="auto"/>
              <w:rPr>
                <w:rFonts w:ascii="Arial" w:eastAsia="Times New Roman" w:hAnsi="Arial" w:cs="Arial"/>
                <w:vanish/>
                <w:color w:val="333333"/>
                <w:sz w:val="18"/>
                <w:szCs w:val="18"/>
              </w:rPr>
            </w:pPr>
          </w:p>
          <w:tbl>
            <w:tblPr>
              <w:tblW w:w="3345"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037"/>
            </w:tblGrid>
            <w:tr w:rsidR="00904199" w:rsidRPr="00904199">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tcMar>
                    <w:top w:w="150" w:type="dxa"/>
                    <w:left w:w="150" w:type="dxa"/>
                    <w:bottom w:w="150" w:type="dxa"/>
                    <w:right w:w="150" w:type="dxa"/>
                  </w:tcMar>
                  <w:vAlign w:val="center"/>
                  <w:hideMark/>
                </w:tcPr>
                <w:p w:rsidR="00904199" w:rsidRPr="00904199" w:rsidRDefault="00904199" w:rsidP="00904199">
                  <w:pPr>
                    <w:spacing w:after="0" w:line="240" w:lineRule="auto"/>
                    <w:jc w:val="center"/>
                    <w:rPr>
                      <w:rFonts w:ascii="Times New Roman" w:eastAsia="Times New Roman" w:hAnsi="Times New Roman" w:cs="Times New Roman"/>
                      <w:color w:val="FFFFFF"/>
                      <w:sz w:val="24"/>
                      <w:szCs w:val="24"/>
                    </w:rPr>
                  </w:pPr>
                  <w:r w:rsidRPr="00904199">
                    <w:rPr>
                      <w:rFonts w:ascii="Times New Roman" w:eastAsia="Times New Roman" w:hAnsi="Times New Roman" w:cs="Times New Roman"/>
                      <w:b/>
                      <w:bCs/>
                      <w:color w:val="FFFFFF"/>
                      <w:sz w:val="24"/>
                      <w:szCs w:val="24"/>
                    </w:rPr>
                    <w:t>Visit the Sanitary Cold Chain</w:t>
                  </w:r>
                  <w:r w:rsidRPr="00904199">
                    <w:rPr>
                      <w:rFonts w:ascii="Times New Roman" w:eastAsia="Times New Roman" w:hAnsi="Times New Roman" w:cs="Times New Roman"/>
                      <w:b/>
                      <w:bCs/>
                      <w:color w:val="FFFFFF"/>
                      <w:sz w:val="24"/>
                      <w:szCs w:val="24"/>
                    </w:rPr>
                    <w:br/>
                    <w:t>http://www.SanitaryColdChain.com</w:t>
                  </w:r>
                  <w:r w:rsidRPr="00904199">
                    <w:rPr>
                      <w:rFonts w:ascii="Times New Roman" w:eastAsia="Times New Roman" w:hAnsi="Times New Roman" w:cs="Times New Roman"/>
                      <w:color w:val="FFFFFF"/>
                      <w:sz w:val="24"/>
                      <w:szCs w:val="24"/>
                    </w:rPr>
                    <w:br/>
                  </w:r>
                  <w:r w:rsidRPr="00904199">
                    <w:rPr>
                      <w:rFonts w:ascii="Times New Roman" w:eastAsia="Times New Roman" w:hAnsi="Times New Roman" w:cs="Times New Roman"/>
                      <w:color w:val="FFFFFF"/>
                      <w:sz w:val="24"/>
                      <w:szCs w:val="24"/>
                    </w:rPr>
                    <w:br/>
                  </w:r>
                  <w:r w:rsidRPr="00904199">
                    <w:rPr>
                      <w:rFonts w:ascii="Times New Roman" w:eastAsia="Times New Roman" w:hAnsi="Times New Roman" w:cs="Times New Roman"/>
                      <w:color w:val="FFFFFF"/>
                      <w:sz w:val="24"/>
                      <w:szCs w:val="24"/>
                    </w:rPr>
                    <w:br/>
                  </w:r>
                  <w:hyperlink r:id="rId12" w:history="1">
                    <w:r>
                      <w:rPr>
                        <w:rFonts w:ascii="Times New Roman" w:eastAsia="Times New Roman" w:hAnsi="Times New Roman" w:cs="Times New Roman"/>
                        <w:noProof/>
                        <w:color w:val="0000FF"/>
                        <w:sz w:val="24"/>
                        <w:szCs w:val="24"/>
                      </w:rPr>
                      <w:drawing>
                        <wp:inline distT="0" distB="0" distL="0" distR="0" wp14:anchorId="3D31D163" wp14:editId="3B3A9DDA">
                          <wp:extent cx="857250" cy="1371600"/>
                          <wp:effectExtent l="0" t="0" r="0" b="0"/>
                          <wp:docPr id="2" name="Picture 2" descr="TransCertCertified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CertCertified 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1371600"/>
                                  </a:xfrm>
                                  <a:prstGeom prst="rect">
                                    <a:avLst/>
                                  </a:prstGeom>
                                  <a:noFill/>
                                  <a:ln>
                                    <a:noFill/>
                                  </a:ln>
                                </pic:spPr>
                              </pic:pic>
                            </a:graphicData>
                          </a:graphic>
                        </wp:inline>
                      </w:drawing>
                    </w:r>
                    <w:r w:rsidRPr="00904199">
                      <w:rPr>
                        <w:rFonts w:ascii="Times New Roman" w:eastAsia="Times New Roman" w:hAnsi="Times New Roman" w:cs="Times New Roman"/>
                        <w:color w:val="0000FF"/>
                        <w:sz w:val="24"/>
                        <w:szCs w:val="24"/>
                        <w:u w:val="single"/>
                      </w:rPr>
                      <w:br/>
                    </w:r>
                    <w:r w:rsidRPr="00904199">
                      <w:rPr>
                        <w:rFonts w:ascii="Times New Roman" w:eastAsia="Times New Roman" w:hAnsi="Times New Roman" w:cs="Times New Roman"/>
                        <w:color w:val="0000FF"/>
                        <w:sz w:val="24"/>
                        <w:szCs w:val="24"/>
                        <w:u w:val="single"/>
                      </w:rPr>
                      <w:br/>
                    </w:r>
                    <w:r w:rsidRPr="00904199">
                      <w:rPr>
                        <w:rFonts w:ascii="Times New Roman" w:eastAsia="Times New Roman" w:hAnsi="Times New Roman" w:cs="Times New Roman"/>
                        <w:color w:val="0000FF"/>
                        <w:sz w:val="24"/>
                        <w:szCs w:val="24"/>
                        <w:u w:val="single"/>
                      </w:rPr>
                      <w:br/>
                    </w:r>
                    <w:r w:rsidRPr="00904199">
                      <w:rPr>
                        <w:rFonts w:ascii="Times New Roman" w:eastAsia="Times New Roman" w:hAnsi="Times New Roman" w:cs="Times New Roman"/>
                        <w:color w:val="0000FF"/>
                        <w:sz w:val="24"/>
                        <w:szCs w:val="24"/>
                        <w:u w:val="single"/>
                      </w:rPr>
                      <w:br/>
                    </w:r>
                    <w:r w:rsidRPr="00904199">
                      <w:rPr>
                        <w:rFonts w:ascii="Times New Roman" w:eastAsia="Times New Roman" w:hAnsi="Times New Roman" w:cs="Times New Roman"/>
                        <w:b/>
                        <w:bCs/>
                        <w:color w:val="FFFFFF"/>
                        <w:sz w:val="24"/>
                        <w:szCs w:val="24"/>
                        <w:u w:val="single"/>
                      </w:rPr>
                      <w:t>Join the Sanitary Cold Chain</w:t>
                    </w:r>
                    <w:r w:rsidRPr="00904199">
                      <w:rPr>
                        <w:rFonts w:ascii="Times New Roman" w:eastAsia="Times New Roman" w:hAnsi="Times New Roman" w:cs="Times New Roman"/>
                        <w:b/>
                        <w:bCs/>
                        <w:color w:val="FFFFFF"/>
                        <w:sz w:val="24"/>
                        <w:szCs w:val="24"/>
                        <w:u w:val="single"/>
                      </w:rPr>
                      <w:br/>
                      <w:t>Membership and Newsletters</w:t>
                    </w:r>
                    <w:r w:rsidRPr="00904199">
                      <w:rPr>
                        <w:rFonts w:ascii="Times New Roman" w:eastAsia="Times New Roman" w:hAnsi="Times New Roman" w:cs="Times New Roman"/>
                        <w:b/>
                        <w:bCs/>
                        <w:color w:val="FFFFFF"/>
                        <w:sz w:val="24"/>
                        <w:szCs w:val="24"/>
                        <w:u w:val="single"/>
                      </w:rPr>
                      <w:br/>
                      <w:t>are Free:  Click this Link</w:t>
                    </w:r>
                    <w:r w:rsidRPr="00904199">
                      <w:rPr>
                        <w:rFonts w:ascii="Times New Roman" w:eastAsia="Times New Roman" w:hAnsi="Times New Roman" w:cs="Times New Roman"/>
                        <w:color w:val="0000FF"/>
                        <w:sz w:val="24"/>
                        <w:szCs w:val="24"/>
                        <w:u w:val="single"/>
                      </w:rPr>
                      <w:br/>
                    </w:r>
                    <w:r w:rsidRPr="00904199">
                      <w:rPr>
                        <w:rFonts w:ascii="Times New Roman" w:eastAsia="Times New Roman" w:hAnsi="Times New Roman" w:cs="Times New Roman"/>
                        <w:color w:val="0000FF"/>
                        <w:sz w:val="24"/>
                        <w:szCs w:val="24"/>
                        <w:u w:val="single"/>
                      </w:rPr>
                      <w:br/>
                    </w:r>
                    <w:r w:rsidRPr="00904199">
                      <w:rPr>
                        <w:rFonts w:ascii="Times New Roman" w:eastAsia="Times New Roman" w:hAnsi="Times New Roman" w:cs="Times New Roman"/>
                        <w:color w:val="0000FF"/>
                        <w:sz w:val="24"/>
                        <w:szCs w:val="24"/>
                        <w:u w:val="single"/>
                      </w:rPr>
                      <w:br/>
                    </w:r>
                    <w:r w:rsidRPr="00904199">
                      <w:rPr>
                        <w:rFonts w:ascii="Times New Roman" w:eastAsia="Times New Roman" w:hAnsi="Times New Roman" w:cs="Times New Roman"/>
                        <w:color w:val="0000FF"/>
                        <w:sz w:val="24"/>
                        <w:szCs w:val="24"/>
                        <w:u w:val="single"/>
                      </w:rPr>
                      <w:br/>
                    </w:r>
                    <w:r w:rsidRPr="00904199">
                      <w:rPr>
                        <w:rFonts w:ascii="Times New Roman" w:eastAsia="Times New Roman" w:hAnsi="Times New Roman" w:cs="Times New Roman"/>
                        <w:color w:val="0000FF"/>
                        <w:sz w:val="24"/>
                        <w:szCs w:val="24"/>
                        <w:u w:val="single"/>
                      </w:rPr>
                      <w:br/>
                    </w:r>
                    <w:r w:rsidRPr="00904199">
                      <w:rPr>
                        <w:rFonts w:ascii="Times New Roman" w:eastAsia="Times New Roman" w:hAnsi="Times New Roman" w:cs="Times New Roman"/>
                        <w:color w:val="0000FF"/>
                        <w:sz w:val="24"/>
                        <w:szCs w:val="24"/>
                        <w:u w:val="single"/>
                      </w:rPr>
                      <w:br/>
                    </w:r>
                    <w:r w:rsidRPr="00904199">
                      <w:rPr>
                        <w:rFonts w:ascii="Times New Roman" w:eastAsia="Times New Roman" w:hAnsi="Times New Roman" w:cs="Times New Roman"/>
                        <w:color w:val="0000FF"/>
                        <w:sz w:val="24"/>
                        <w:szCs w:val="24"/>
                        <w:u w:val="single"/>
                      </w:rPr>
                      <w:br/>
                    </w:r>
                    <w:r w:rsidRPr="00904199">
                      <w:rPr>
                        <w:rFonts w:ascii="Times New Roman" w:eastAsia="Times New Roman" w:hAnsi="Times New Roman" w:cs="Times New Roman"/>
                        <w:color w:val="0000FF"/>
                        <w:sz w:val="24"/>
                        <w:szCs w:val="24"/>
                        <w:u w:val="single"/>
                      </w:rPr>
                      <w:br/>
                    </w:r>
                    <w:r w:rsidRPr="00904199">
                      <w:rPr>
                        <w:rFonts w:ascii="Times New Roman" w:eastAsia="Times New Roman" w:hAnsi="Times New Roman" w:cs="Times New Roman"/>
                        <w:color w:val="0000FF"/>
                        <w:sz w:val="24"/>
                        <w:szCs w:val="24"/>
                        <w:u w:val="single"/>
                      </w:rPr>
                      <w:br/>
                    </w:r>
                    <w:r w:rsidRPr="00904199">
                      <w:rPr>
                        <w:rFonts w:ascii="Times New Roman" w:eastAsia="Times New Roman" w:hAnsi="Times New Roman" w:cs="Times New Roman"/>
                        <w:color w:val="0000FF"/>
                        <w:sz w:val="24"/>
                        <w:szCs w:val="24"/>
                        <w:u w:val="single"/>
                      </w:rPr>
                      <w:br/>
                    </w:r>
                    <w:r w:rsidRPr="00904199">
                      <w:rPr>
                        <w:rFonts w:ascii="Times New Roman" w:eastAsia="Times New Roman" w:hAnsi="Times New Roman" w:cs="Times New Roman"/>
                        <w:color w:val="0000FF"/>
                        <w:sz w:val="24"/>
                        <w:szCs w:val="24"/>
                        <w:u w:val="single"/>
                      </w:rPr>
                      <w:br/>
                    </w:r>
                    <w:r w:rsidRPr="00904199">
                      <w:rPr>
                        <w:rFonts w:ascii="Times New Roman" w:eastAsia="Times New Roman" w:hAnsi="Times New Roman" w:cs="Times New Roman"/>
                        <w:color w:val="0000FF"/>
                        <w:sz w:val="24"/>
                        <w:szCs w:val="24"/>
                        <w:u w:val="single"/>
                      </w:rPr>
                      <w:br/>
                    </w:r>
                    <w:r w:rsidRPr="00904199">
                      <w:rPr>
                        <w:rFonts w:ascii="Times New Roman" w:eastAsia="Times New Roman" w:hAnsi="Times New Roman" w:cs="Times New Roman"/>
                        <w:color w:val="0000FF"/>
                        <w:sz w:val="24"/>
                        <w:szCs w:val="24"/>
                        <w:u w:val="single"/>
                      </w:rPr>
                      <w:lastRenderedPageBreak/>
                      <w:br/>
                    </w:r>
                    <w:r w:rsidRPr="00904199">
                      <w:rPr>
                        <w:rFonts w:ascii="Times New Roman" w:eastAsia="Times New Roman" w:hAnsi="Times New Roman" w:cs="Times New Roman"/>
                        <w:color w:val="0000FF"/>
                        <w:sz w:val="24"/>
                        <w:szCs w:val="24"/>
                        <w:u w:val="single"/>
                      </w:rPr>
                      <w:br/>
                    </w:r>
                    <w:r w:rsidRPr="00904199">
                      <w:rPr>
                        <w:rFonts w:ascii="Times New Roman" w:eastAsia="Times New Roman" w:hAnsi="Times New Roman" w:cs="Times New Roman"/>
                        <w:b/>
                        <w:bCs/>
                        <w:color w:val="FFFFFF"/>
                        <w:sz w:val="24"/>
                        <w:szCs w:val="24"/>
                        <w:u w:val="single"/>
                      </w:rPr>
                      <w:t>Prepare Your Company to</w:t>
                    </w:r>
                    <w:r w:rsidRPr="00904199">
                      <w:rPr>
                        <w:rFonts w:ascii="Times New Roman" w:eastAsia="Times New Roman" w:hAnsi="Times New Roman" w:cs="Times New Roman"/>
                        <w:b/>
                        <w:bCs/>
                        <w:color w:val="FFFFFF"/>
                        <w:sz w:val="24"/>
                        <w:szCs w:val="24"/>
                        <w:u w:val="single"/>
                      </w:rPr>
                      <w:br/>
                      <w:t>Meet Changing Demands</w:t>
                    </w:r>
                  </w:hyperlink>
                  <w:r w:rsidRPr="00904199">
                    <w:rPr>
                      <w:rFonts w:ascii="Times New Roman" w:eastAsia="Times New Roman" w:hAnsi="Times New Roman" w:cs="Times New Roman"/>
                      <w:color w:val="FFFFFF"/>
                      <w:sz w:val="24"/>
                      <w:szCs w:val="24"/>
                    </w:rPr>
                    <w:br/>
                  </w:r>
                  <w:r w:rsidRPr="00904199">
                    <w:rPr>
                      <w:rFonts w:ascii="Times New Roman" w:eastAsia="Times New Roman" w:hAnsi="Times New Roman" w:cs="Times New Roman"/>
                      <w:color w:val="FFFFFF"/>
                      <w:sz w:val="24"/>
                      <w:szCs w:val="24"/>
                    </w:rPr>
                    <w:br/>
                  </w:r>
                  <w:r>
                    <w:rPr>
                      <w:rFonts w:ascii="Times New Roman" w:eastAsia="Times New Roman" w:hAnsi="Times New Roman" w:cs="Times New Roman"/>
                      <w:noProof/>
                      <w:color w:val="FFFFFF"/>
                      <w:sz w:val="24"/>
                      <w:szCs w:val="24"/>
                    </w:rPr>
                    <w:drawing>
                      <wp:inline distT="0" distB="0" distL="0" distR="0" wp14:anchorId="52C69AB2" wp14:editId="28298B16">
                        <wp:extent cx="1914525" cy="2838450"/>
                        <wp:effectExtent l="0" t="0" r="9525" b="0"/>
                        <wp:docPr id="1" name="Picture 1"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4525" cy="2838450"/>
                                </a:xfrm>
                                <a:prstGeom prst="rect">
                                  <a:avLst/>
                                </a:prstGeom>
                                <a:noFill/>
                                <a:ln>
                                  <a:noFill/>
                                </a:ln>
                              </pic:spPr>
                            </pic:pic>
                          </a:graphicData>
                        </a:graphic>
                      </wp:inline>
                    </w:drawing>
                  </w:r>
                </w:p>
              </w:tc>
            </w:tr>
          </w:tbl>
          <w:p w:rsidR="00904199" w:rsidRPr="00904199" w:rsidRDefault="00904199" w:rsidP="00904199">
            <w:pPr>
              <w:spacing w:after="0" w:line="240" w:lineRule="auto"/>
              <w:rPr>
                <w:rFonts w:ascii="Arial" w:eastAsia="Times New Roman" w:hAnsi="Arial" w:cs="Arial"/>
                <w:color w:val="333333"/>
                <w:sz w:val="18"/>
                <w:szCs w:val="18"/>
              </w:rPr>
            </w:pPr>
          </w:p>
        </w:tc>
      </w:tr>
      <w:tr w:rsidR="00904199" w:rsidRPr="00904199" w:rsidTr="00904199">
        <w:trPr>
          <w:tblCellSpacing w:w="0" w:type="dxa"/>
          <w:jc w:val="center"/>
        </w:trPr>
        <w:tc>
          <w:tcPr>
            <w:tcW w:w="10770" w:type="dxa"/>
            <w:gridSpan w:val="2"/>
            <w:tcBorders>
              <w:top w:val="dotted" w:sz="6" w:space="0" w:color="D3D3D3"/>
              <w:left w:val="dotted" w:sz="6" w:space="0" w:color="D3D3D3"/>
              <w:bottom w:val="dotted" w:sz="6" w:space="0" w:color="D3D3D3"/>
              <w:right w:val="dotted" w:sz="6" w:space="0" w:color="D3D3D3"/>
            </w:tcBorders>
            <w:shd w:val="clear" w:color="auto" w:fill="000000"/>
            <w:vAlign w:val="center"/>
            <w:hideMark/>
          </w:tcPr>
          <w:tbl>
            <w:tblPr>
              <w:tblW w:w="9750"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9750"/>
            </w:tblGrid>
            <w:tr w:rsidR="00904199" w:rsidRPr="00904199">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tcMar>
                    <w:top w:w="150" w:type="dxa"/>
                    <w:left w:w="150" w:type="dxa"/>
                    <w:bottom w:w="150" w:type="dxa"/>
                    <w:right w:w="150" w:type="dxa"/>
                  </w:tcMar>
                  <w:vAlign w:val="center"/>
                  <w:hideMark/>
                </w:tcPr>
                <w:p w:rsidR="00904199" w:rsidRPr="00904199" w:rsidRDefault="00904199" w:rsidP="00904199">
                  <w:pPr>
                    <w:spacing w:after="0" w:line="240" w:lineRule="auto"/>
                    <w:jc w:val="right"/>
                    <w:rPr>
                      <w:rFonts w:ascii="Times New Roman" w:eastAsia="Times New Roman" w:hAnsi="Times New Roman" w:cs="Times New Roman"/>
                      <w:color w:val="FFFFFF"/>
                      <w:sz w:val="17"/>
                      <w:szCs w:val="17"/>
                    </w:rPr>
                  </w:pPr>
                  <w:r w:rsidRPr="00904199">
                    <w:rPr>
                      <w:rFonts w:ascii="Times New Roman" w:eastAsia="Times New Roman" w:hAnsi="Times New Roman" w:cs="Times New Roman"/>
                      <w:color w:val="FFFFFF"/>
                      <w:sz w:val="17"/>
                      <w:szCs w:val="17"/>
                    </w:rPr>
                    <w:lastRenderedPageBreak/>
                    <w:t>Tel: (808) 469-0046</w:t>
                  </w:r>
                  <w:r w:rsidRPr="00904199">
                    <w:rPr>
                      <w:rFonts w:ascii="Times New Roman" w:eastAsia="Times New Roman" w:hAnsi="Times New Roman" w:cs="Times New Roman"/>
                      <w:color w:val="FFFFFF"/>
                      <w:sz w:val="17"/>
                      <w:szCs w:val="17"/>
                    </w:rPr>
                    <w:br/>
                    <w:t>Fax: (951) 746-2294</w:t>
                  </w:r>
                  <w:r w:rsidRPr="00904199">
                    <w:rPr>
                      <w:rFonts w:ascii="Times New Roman" w:eastAsia="Times New Roman" w:hAnsi="Times New Roman" w:cs="Times New Roman"/>
                      <w:color w:val="FFFFFF"/>
                      <w:sz w:val="17"/>
                      <w:szCs w:val="17"/>
                    </w:rPr>
                    <w:br/>
                    <w:t>Email: </w:t>
                  </w:r>
                  <w:hyperlink r:id="rId15" w:history="1">
                    <w:r w:rsidRPr="00904199">
                      <w:rPr>
                        <w:rFonts w:ascii="Times New Roman" w:eastAsia="Times New Roman" w:hAnsi="Times New Roman" w:cs="Times New Roman"/>
                        <w:color w:val="FFFFFF"/>
                        <w:sz w:val="17"/>
                        <w:szCs w:val="17"/>
                        <w:u w:val="single"/>
                      </w:rPr>
                      <w:t>info@s</w:t>
                    </w:r>
                  </w:hyperlink>
                  <w:r w:rsidRPr="00904199">
                    <w:rPr>
                      <w:rFonts w:ascii="Times New Roman" w:eastAsia="Times New Roman" w:hAnsi="Times New Roman" w:cs="Times New Roman"/>
                      <w:color w:val="FFFFFF"/>
                      <w:sz w:val="17"/>
                      <w:szCs w:val="17"/>
                    </w:rPr>
                    <w:t>anitarycoldchain.com</w:t>
                  </w:r>
                </w:p>
              </w:tc>
            </w:tr>
          </w:tbl>
          <w:p w:rsidR="00904199" w:rsidRPr="00904199" w:rsidRDefault="00904199" w:rsidP="00904199">
            <w:pPr>
              <w:spacing w:after="0" w:line="240" w:lineRule="auto"/>
              <w:rPr>
                <w:rFonts w:ascii="Arial" w:eastAsia="Times New Roman" w:hAnsi="Arial" w:cs="Arial"/>
                <w:color w:val="333333"/>
                <w:sz w:val="18"/>
                <w:szCs w:val="18"/>
              </w:rPr>
            </w:pPr>
          </w:p>
        </w:tc>
      </w:tr>
      <w:bookmarkEnd w:id="0"/>
    </w:tbl>
    <w:p w:rsidR="00903059" w:rsidRDefault="00903059"/>
    <w:sectPr w:rsidR="00903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99"/>
    <w:rsid w:val="0000506B"/>
    <w:rsid w:val="00070543"/>
    <w:rsid w:val="00071170"/>
    <w:rsid w:val="000A05BA"/>
    <w:rsid w:val="000B2FFA"/>
    <w:rsid w:val="000B7C95"/>
    <w:rsid w:val="000B7E19"/>
    <w:rsid w:val="000D3BF3"/>
    <w:rsid w:val="000D4F62"/>
    <w:rsid w:val="000E1C38"/>
    <w:rsid w:val="000F4E32"/>
    <w:rsid w:val="001943B3"/>
    <w:rsid w:val="001A6380"/>
    <w:rsid w:val="001A748E"/>
    <w:rsid w:val="001B1051"/>
    <w:rsid w:val="001C4264"/>
    <w:rsid w:val="001C6536"/>
    <w:rsid w:val="001D29B3"/>
    <w:rsid w:val="001E4D97"/>
    <w:rsid w:val="001E6145"/>
    <w:rsid w:val="002035B2"/>
    <w:rsid w:val="00222114"/>
    <w:rsid w:val="00224B03"/>
    <w:rsid w:val="00283B6B"/>
    <w:rsid w:val="00290DFD"/>
    <w:rsid w:val="002B14E8"/>
    <w:rsid w:val="002C7521"/>
    <w:rsid w:val="002D6CF4"/>
    <w:rsid w:val="002F6897"/>
    <w:rsid w:val="0031102D"/>
    <w:rsid w:val="00333FCB"/>
    <w:rsid w:val="0036532F"/>
    <w:rsid w:val="003849FB"/>
    <w:rsid w:val="003A7187"/>
    <w:rsid w:val="003B02BE"/>
    <w:rsid w:val="003B196F"/>
    <w:rsid w:val="003C282F"/>
    <w:rsid w:val="003D67A2"/>
    <w:rsid w:val="003D7831"/>
    <w:rsid w:val="003E7D92"/>
    <w:rsid w:val="00402777"/>
    <w:rsid w:val="0040707C"/>
    <w:rsid w:val="004119C6"/>
    <w:rsid w:val="00424A81"/>
    <w:rsid w:val="00442F7C"/>
    <w:rsid w:val="004652C4"/>
    <w:rsid w:val="0051544C"/>
    <w:rsid w:val="005360CD"/>
    <w:rsid w:val="00552673"/>
    <w:rsid w:val="00562D9E"/>
    <w:rsid w:val="0058035F"/>
    <w:rsid w:val="00582F80"/>
    <w:rsid w:val="00583559"/>
    <w:rsid w:val="00593D03"/>
    <w:rsid w:val="005A0ADF"/>
    <w:rsid w:val="005A2648"/>
    <w:rsid w:val="005D7A32"/>
    <w:rsid w:val="005E170B"/>
    <w:rsid w:val="0064047C"/>
    <w:rsid w:val="00667F34"/>
    <w:rsid w:val="006955AA"/>
    <w:rsid w:val="006966B7"/>
    <w:rsid w:val="006A4098"/>
    <w:rsid w:val="006C4AF7"/>
    <w:rsid w:val="006D1368"/>
    <w:rsid w:val="006F3888"/>
    <w:rsid w:val="006F73CB"/>
    <w:rsid w:val="00722777"/>
    <w:rsid w:val="007259EB"/>
    <w:rsid w:val="00736DAB"/>
    <w:rsid w:val="00745DA2"/>
    <w:rsid w:val="00767239"/>
    <w:rsid w:val="00780C65"/>
    <w:rsid w:val="00785EFF"/>
    <w:rsid w:val="007B3BF8"/>
    <w:rsid w:val="007C17DE"/>
    <w:rsid w:val="007C5C80"/>
    <w:rsid w:val="007D2E59"/>
    <w:rsid w:val="007E071E"/>
    <w:rsid w:val="007E3E48"/>
    <w:rsid w:val="00807B80"/>
    <w:rsid w:val="00827DAF"/>
    <w:rsid w:val="00830AD9"/>
    <w:rsid w:val="00842E94"/>
    <w:rsid w:val="00845C66"/>
    <w:rsid w:val="00851940"/>
    <w:rsid w:val="00871741"/>
    <w:rsid w:val="00873447"/>
    <w:rsid w:val="00873A1E"/>
    <w:rsid w:val="008A1C0E"/>
    <w:rsid w:val="008A4830"/>
    <w:rsid w:val="008B3218"/>
    <w:rsid w:val="008C3C38"/>
    <w:rsid w:val="008C3DDA"/>
    <w:rsid w:val="008D6BC5"/>
    <w:rsid w:val="008D72F6"/>
    <w:rsid w:val="008E106A"/>
    <w:rsid w:val="00903059"/>
    <w:rsid w:val="00904199"/>
    <w:rsid w:val="0091080A"/>
    <w:rsid w:val="00921FBE"/>
    <w:rsid w:val="00923EFA"/>
    <w:rsid w:val="00936D10"/>
    <w:rsid w:val="009423BF"/>
    <w:rsid w:val="0095514A"/>
    <w:rsid w:val="009956EC"/>
    <w:rsid w:val="009E1FB7"/>
    <w:rsid w:val="009E1FD7"/>
    <w:rsid w:val="009E6C40"/>
    <w:rsid w:val="009F3AF6"/>
    <w:rsid w:val="00A12654"/>
    <w:rsid w:val="00A2625B"/>
    <w:rsid w:val="00A453CE"/>
    <w:rsid w:val="00AA2134"/>
    <w:rsid w:val="00AB581F"/>
    <w:rsid w:val="00AC202F"/>
    <w:rsid w:val="00AD0EA0"/>
    <w:rsid w:val="00AF5954"/>
    <w:rsid w:val="00B7630B"/>
    <w:rsid w:val="00BA7796"/>
    <w:rsid w:val="00BB0189"/>
    <w:rsid w:val="00C27F86"/>
    <w:rsid w:val="00C512AA"/>
    <w:rsid w:val="00C54756"/>
    <w:rsid w:val="00C6294B"/>
    <w:rsid w:val="00C70BA7"/>
    <w:rsid w:val="00C83C4E"/>
    <w:rsid w:val="00C936E5"/>
    <w:rsid w:val="00C97D6C"/>
    <w:rsid w:val="00CA2029"/>
    <w:rsid w:val="00CD1310"/>
    <w:rsid w:val="00CD7602"/>
    <w:rsid w:val="00D010D9"/>
    <w:rsid w:val="00D0337F"/>
    <w:rsid w:val="00D07932"/>
    <w:rsid w:val="00D147F6"/>
    <w:rsid w:val="00D35B23"/>
    <w:rsid w:val="00D900E2"/>
    <w:rsid w:val="00DA4CB6"/>
    <w:rsid w:val="00DB6E57"/>
    <w:rsid w:val="00DF52B8"/>
    <w:rsid w:val="00E23759"/>
    <w:rsid w:val="00E46D8A"/>
    <w:rsid w:val="00E84F41"/>
    <w:rsid w:val="00E85D51"/>
    <w:rsid w:val="00E963D8"/>
    <w:rsid w:val="00EA37D0"/>
    <w:rsid w:val="00EB5AF9"/>
    <w:rsid w:val="00EF4CE4"/>
    <w:rsid w:val="00F27105"/>
    <w:rsid w:val="00F77C6F"/>
    <w:rsid w:val="00FA7F9C"/>
    <w:rsid w:val="00FC6AB7"/>
    <w:rsid w:val="00FE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4199"/>
    <w:rPr>
      <w:b/>
      <w:bCs/>
    </w:rPr>
  </w:style>
  <w:style w:type="character" w:customStyle="1" w:styleId="apple-converted-space">
    <w:name w:val="apple-converted-space"/>
    <w:basedOn w:val="DefaultParagraphFont"/>
    <w:rsid w:val="00904199"/>
  </w:style>
  <w:style w:type="character" w:styleId="Hyperlink">
    <w:name w:val="Hyperlink"/>
    <w:basedOn w:val="DefaultParagraphFont"/>
    <w:uiPriority w:val="99"/>
    <w:semiHidden/>
    <w:unhideWhenUsed/>
    <w:rsid w:val="00904199"/>
    <w:rPr>
      <w:color w:val="0000FF"/>
      <w:u w:val="single"/>
    </w:rPr>
  </w:style>
  <w:style w:type="paragraph" w:styleId="BalloonText">
    <w:name w:val="Balloon Text"/>
    <w:basedOn w:val="Normal"/>
    <w:link w:val="BalloonTextChar"/>
    <w:uiPriority w:val="99"/>
    <w:semiHidden/>
    <w:unhideWhenUsed/>
    <w:rsid w:val="00904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1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4199"/>
    <w:rPr>
      <w:b/>
      <w:bCs/>
    </w:rPr>
  </w:style>
  <w:style w:type="character" w:customStyle="1" w:styleId="apple-converted-space">
    <w:name w:val="apple-converted-space"/>
    <w:basedOn w:val="DefaultParagraphFont"/>
    <w:rsid w:val="00904199"/>
  </w:style>
  <w:style w:type="character" w:styleId="Hyperlink">
    <w:name w:val="Hyperlink"/>
    <w:basedOn w:val="DefaultParagraphFont"/>
    <w:uiPriority w:val="99"/>
    <w:semiHidden/>
    <w:unhideWhenUsed/>
    <w:rsid w:val="00904199"/>
    <w:rPr>
      <w:color w:val="0000FF"/>
      <w:u w:val="single"/>
    </w:rPr>
  </w:style>
  <w:style w:type="paragraph" w:styleId="BalloonText">
    <w:name w:val="Balloon Text"/>
    <w:basedOn w:val="Normal"/>
    <w:link w:val="BalloonTextChar"/>
    <w:uiPriority w:val="99"/>
    <w:semiHidden/>
    <w:unhideWhenUsed/>
    <w:rsid w:val="00904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1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513">
      <w:bodyDiv w:val="1"/>
      <w:marLeft w:val="0"/>
      <w:marRight w:val="0"/>
      <w:marTop w:val="0"/>
      <w:marBottom w:val="0"/>
      <w:divBdr>
        <w:top w:val="none" w:sz="0" w:space="0" w:color="auto"/>
        <w:left w:val="none" w:sz="0" w:space="0" w:color="auto"/>
        <w:bottom w:val="none" w:sz="0" w:space="0" w:color="auto"/>
        <w:right w:val="none" w:sz="0" w:space="0" w:color="auto"/>
      </w:divBdr>
      <w:divsChild>
        <w:div w:id="507211936">
          <w:marLeft w:val="0"/>
          <w:marRight w:val="0"/>
          <w:marTop w:val="0"/>
          <w:marBottom w:val="0"/>
          <w:divBdr>
            <w:top w:val="none" w:sz="0" w:space="0" w:color="auto"/>
            <w:left w:val="none" w:sz="0" w:space="0" w:color="auto"/>
            <w:bottom w:val="none" w:sz="0" w:space="0" w:color="auto"/>
            <w:right w:val="none" w:sz="0" w:space="0" w:color="auto"/>
          </w:divBdr>
        </w:div>
        <w:div w:id="57169879">
          <w:marLeft w:val="0"/>
          <w:marRight w:val="0"/>
          <w:marTop w:val="0"/>
          <w:marBottom w:val="0"/>
          <w:divBdr>
            <w:top w:val="none" w:sz="0" w:space="0" w:color="auto"/>
            <w:left w:val="none" w:sz="0" w:space="0" w:color="auto"/>
            <w:bottom w:val="none" w:sz="0" w:space="0" w:color="auto"/>
            <w:right w:val="none" w:sz="0" w:space="0" w:color="auto"/>
          </w:divBdr>
        </w:div>
        <w:div w:id="278297080">
          <w:marLeft w:val="0"/>
          <w:marRight w:val="0"/>
          <w:marTop w:val="0"/>
          <w:marBottom w:val="0"/>
          <w:divBdr>
            <w:top w:val="none" w:sz="0" w:space="0" w:color="auto"/>
            <w:left w:val="none" w:sz="0" w:space="0" w:color="auto"/>
            <w:bottom w:val="none" w:sz="0" w:space="0" w:color="auto"/>
            <w:right w:val="none" w:sz="0" w:space="0" w:color="auto"/>
          </w:divBdr>
        </w:div>
        <w:div w:id="1380011854">
          <w:marLeft w:val="0"/>
          <w:marRight w:val="0"/>
          <w:marTop w:val="0"/>
          <w:marBottom w:val="0"/>
          <w:divBdr>
            <w:top w:val="none" w:sz="0" w:space="0" w:color="auto"/>
            <w:left w:val="none" w:sz="0" w:space="0" w:color="auto"/>
            <w:bottom w:val="none" w:sz="0" w:space="0" w:color="auto"/>
            <w:right w:val="none" w:sz="0" w:space="0" w:color="auto"/>
          </w:divBdr>
        </w:div>
        <w:div w:id="848758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cert.litmos.com/online-courses"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elsevier.com/books/guide-to-food-safety-and-quality-during-transportation/ryan/978-0-12-407775-1" TargetMode="External"/><Relationship Id="rId12" Type="http://schemas.openxmlformats.org/officeDocument/2006/relationships/hyperlink" Target="http://sanitarycoldchain.com/homeoftranscert/membership.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3.jpeg"/><Relationship Id="rId5" Type="http://schemas.openxmlformats.org/officeDocument/2006/relationships/image" Target="media/image1.gif"/><Relationship Id="rId15" Type="http://schemas.openxmlformats.org/officeDocument/2006/relationships/hyperlink" Target="mailto:info@company.com" TargetMode="External"/><Relationship Id="rId10" Type="http://schemas.openxmlformats.org/officeDocument/2006/relationships/hyperlink" Target="http://www.tcbg.info/" TargetMode="External"/><Relationship Id="rId4" Type="http://schemas.openxmlformats.org/officeDocument/2006/relationships/webSettings" Target="webSettings.xml"/><Relationship Id="rId9" Type="http://schemas.openxmlformats.org/officeDocument/2006/relationships/hyperlink" Target="mailto:jryan@sanitarycoldchain.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2014-06-17T15:04:00Z</dcterms:created>
  <dcterms:modified xsi:type="dcterms:W3CDTF">2014-06-17T15:05:00Z</dcterms:modified>
</cp:coreProperties>
</file>